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Subcontractor agreement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Agency:</w:t>
      </w:r>
      <w:r>
        <w:t xml:space="preserve"> [Legal name, address, email]</w:t>
      </w:r>
    </w:p>
    <w:p>
      <w:pPr>
        <w:spacing w:after="120"/>
      </w:pPr>
      <w:r>
        <w:rPr>
          <w:b/>
          <w:bCs/>
        </w:rPr>
        <w:t xml:space="preserve">Subcontractor:</w:t>
      </w:r>
      <w:r>
        <w:t xml:space="preserve"> [Legal name, address, email]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Services</w:t>
      </w:r>
    </w:p>
    <w:p>
      <w:pPr>
        <w:spacing w:after="120"/>
      </w:pPr>
      <w:r>
        <w:t xml:space="preserve">The Subcontractor will provide the services in Schedule 1 for the Agency’s client [Client name] (“the End Client”).</w:t>
      </w:r>
    </w:p>
    <w:p>
      <w:pPr>
        <w:pStyle w:val="Heading2"/>
        <w:spacing w:after="100" w:before="200"/>
      </w:pPr>
      <w:r>
        <w:t xml:space="preserve">2. Flow-down obligations</w:t>
      </w:r>
    </w:p>
    <w:p>
      <w:pPr>
        <w:spacing w:after="120"/>
      </w:pPr>
      <w:r>
        <w:t xml:space="preserve">The Subcontractor will comply with the End Client requirements listed in Schedule 2, including standards, deadlines, security and confidentiality.</w:t>
      </w:r>
    </w:p>
    <w:p>
      <w:pPr>
        <w:pStyle w:val="Heading2"/>
        <w:spacing w:after="100" w:before="200"/>
      </w:pPr>
      <w:r>
        <w:t xml:space="preserve">3. Fees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basis]</w:t>
      </w:r>
    </w:p>
    <w:p>
      <w:pPr>
        <w:spacing w:after="120"/>
      </w:pPr>
      <w:r>
        <w:rPr>
          <w:b/>
          <w:bCs/>
        </w:rPr>
        <w:t xml:space="preserve">Invoicing:</w:t>
      </w:r>
      <w:r>
        <w:t xml:space="preserve"> [Monthly / on milestone]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30 days]</w:t>
      </w:r>
    </w:p>
    <w:p>
      <w:pPr>
        <w:pStyle w:val="Heading2"/>
        <w:spacing w:after="100" w:before="200"/>
      </w:pPr>
      <w:r>
        <w:t xml:space="preserve">4. Client contact</w:t>
      </w:r>
    </w:p>
    <w:p>
      <w:pPr>
        <w:spacing w:after="120"/>
      </w:pPr>
      <w:r>
        <w:t xml:space="preserve">The Subcontractor will communicate with the End Client only as directed by the Agency and will present work under the Agency’s name [unless agreed otherwise].</w:t>
      </w:r>
    </w:p>
    <w:p>
      <w:pPr>
        <w:pStyle w:val="Heading2"/>
        <w:spacing w:after="100" w:before="200"/>
      </w:pPr>
      <w:r>
        <w:t xml:space="preserve">5. Intellectual property</w:t>
      </w:r>
    </w:p>
    <w:p>
      <w:pPr>
        <w:spacing w:after="120"/>
      </w:pPr>
      <w:r>
        <w:t xml:space="preserve">On payment, the Subcontractor assigns to the Agency all rights in work created under this agreement, so the Agency can transfer them to the End Client.</w:t>
      </w:r>
    </w:p>
    <w:p>
      <w:pPr>
        <w:pStyle w:val="Heading2"/>
        <w:spacing w:after="100" w:before="200"/>
      </w:pPr>
      <w:r>
        <w:t xml:space="preserve">6. Confidentiality</w:t>
      </w:r>
    </w:p>
    <w:p>
      <w:pPr>
        <w:spacing w:after="120"/>
      </w:pPr>
      <w:r>
        <w:t xml:space="preserve">The Subcontractor keeps the Agency’s and the End Client’s information confidential and returns or deletes it at the end of the work.</w:t>
      </w:r>
    </w:p>
    <w:p>
      <w:pPr>
        <w:pStyle w:val="Heading2"/>
        <w:spacing w:after="100" w:before="200"/>
      </w:pPr>
      <w:r>
        <w:t xml:space="preserve">7. Non-solicitation</w:t>
      </w:r>
    </w:p>
    <w:p>
      <w:pPr>
        <w:spacing w:after="120"/>
      </w:pPr>
      <w:r>
        <w:t xml:space="preserve">For [12] months after this agreement ends, the Subcontractor will not offer the same services directly to the End Client without the Agency’s consent.</w:t>
      </w:r>
    </w:p>
    <w:p>
      <w:pPr>
        <w:pStyle w:val="Heading2"/>
        <w:spacing w:after="100" w:before="200"/>
      </w:pPr>
      <w:r>
        <w:t xml:space="preserve">8. Status and insurance</w:t>
      </w:r>
    </w:p>
    <w:p>
      <w:pPr>
        <w:spacing w:after="120"/>
      </w:pPr>
      <w:r>
        <w:t xml:space="preserve">The Subcontractor is an independent business, responsible for their own taxes and maintains [professional indemnity] insurance of [amount].</w:t>
      </w:r>
    </w:p>
    <w:p>
      <w:pPr>
        <w:pStyle w:val="Heading2"/>
        <w:spacing w:after="100" w:before="200"/>
      </w:pPr>
      <w:r>
        <w:t xml:space="preserve">9. Termination</w:t>
      </w:r>
    </w:p>
    <w:p>
      <w:pPr>
        <w:spacing w:after="120"/>
      </w:pPr>
      <w:r>
        <w:t xml:space="preserve">Either party may end this agreement with [14] days’ notice. If the End Client ends the project, the Agency may end this agreement on the same date and pays for work done.</w:t>
      </w:r>
    </w:p>
    <w:p>
      <w:pPr>
        <w:pStyle w:val="Heading2"/>
        <w:spacing w:after="100" w:before="200"/>
      </w:pPr>
      <w:r>
        <w:t xml:space="preserve">General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Entire agreement:</w:t>
      </w:r>
      <w:r>
        <w:t xml:space="preserve"> this agreement (and any statements of work under it) is the whole agreement between the parties on its subject.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Changes:</w:t>
      </w:r>
      <w:r>
        <w:t xml:space="preserve"> changes to this agreement must be in writing and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Notices:</w:t>
      </w:r>
      <w:r>
        <w:t xml:space="preserve"> notices are sent to the email addresses above, or as updated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Governing law:</w:t>
      </w:r>
      <w:r>
        <w:t xml:space="preserve"> this agreement is governed by the laws of [jurisdiction], and the courts of [jurisdiction] have jurisdiction.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Ridgeway Technical Services and Elmstead Systems</w:t>
      </w:r>
    </w:p>
    <w:p>
      <w:pPr>
        <w:spacing w:after="120"/>
      </w:pPr>
      <w:r>
        <w:t xml:space="preserve">How the main clauses read once filled in for a network upgrade support.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Ridgeway Technical Services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Elmstead Systems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Services as described in the statement of work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Timesheets for each billing period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purchases unless agreed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 outside the agreed hours without approval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$7,236.00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$2,171.00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Timesheet approval</w:t>
      </w:r>
    </w:p>
    <w:p>
      <w:pPr>
        <w:spacing w:after="120"/>
      </w:pPr>
      <w:r>
        <w:t xml:space="preserve">The contractor submits timesheets weekly. The client approves or queries them within five working days; unqueried timesheets are treated as approved.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Subcontractor agreement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2026-10-23T19:02:15.421Z</dcterms:created>
  <dcterms:modified xsi:type="dcterms:W3CDTF">2026-10-23T19:02:15.421Z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