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Service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Strategy: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Set-up: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Launch: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Optimise and report: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[Campaign plan and messaging]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[Ads, landing page and emails]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performance report]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review call]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Set-up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Optimise and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[Strategy, campaign management and reporting]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[Google and Meta campaigns, 12% of spend]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[Copy and design for one campaign page]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newsletters written, built and sent]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[Advertising spend (paid by the client directly)]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[Photography and video production]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[Website development beyond landing pages]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lead or sales numbers]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ad accounts, analytics and CRM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[Brand guidelines and product information]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[Approval of ad copy within two working days]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Tidewater Marketing’s proposal for Larkspur Interiors</w:t>
      </w:r>
    </w:p>
    <w:p>
      <w:pPr>
        <w:spacing w:after="120"/>
      </w:pPr>
      <w:r>
        <w:t xml:space="preserve">Key sections from a proposal for a quarterly lead generation campaign.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Larkspur Interiors wants a quarterly lead generation campaign.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Strategy: Campaign plan and messaging</w:t>
      </w:r>
    </w:p>
    <w:p>
      <w:pPr>
        <w:spacing w:after="60"/>
        <w:ind w:left="360" w:hanging="360"/>
      </w:pPr>
      <w:r>
        <w:t xml:space="preserve">2. </w:t>
      </w:r>
      <w:r>
        <w:t xml:space="preserve">Set-up: Ads, landing page and emails</w:t>
      </w:r>
    </w:p>
    <w:p>
      <w:pPr>
        <w:spacing w:after="60"/>
        <w:ind w:left="360" w:hanging="360"/>
      </w:pPr>
      <w:r>
        <w:t xml:space="preserve">3. </w:t>
      </w:r>
      <w:r>
        <w:t xml:space="preserve">Launch: Monthly performance report</w:t>
      </w:r>
    </w:p>
    <w:p>
      <w:pPr>
        <w:spacing w:after="60"/>
        <w:ind w:left="360" w:hanging="360"/>
      </w:pPr>
      <w:r>
        <w:t xml:space="preserve">4. </w:t>
      </w:r>
      <w:r>
        <w:t xml:space="preserve">Optimise and report: Monthly review call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Strategy, campaign management and 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Paid media management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Google and Meta campaigns, 12% of spend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$960.00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Landing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Copy and design for one campaign page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Email campaign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newsletters written, built and sent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$700.00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$6,360.00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ad accounts, analytics and CRM by invitation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guidelines and product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of ad copy within two working days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2026-10-23T19:02:15.287Z</dcterms:created>
  <dcterms:modified xsi:type="dcterms:W3CDTF">2026-10-23T19:02:15.287Z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