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Pro Forma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Tax or business ID:</w:t>
      </w:r>
      <w:r>
        <w:t xml:space="preserve"> [Tax or business ID]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 the prices hold until]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[Agreed deliverables, phase 1]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Additional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[Changes requested 4–8 May]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Software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[Template purchased for the project, 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rPr>
          <w:b/>
          <w:bCs/>
        </w:rPr>
        <w:t xml:space="preserve">This is a pro forma invoice:</w:t>
      </w:r>
      <w:r>
        <w:t xml:space="preserve"> it confirms the expected amount and isn’t a tax invoice. A final invoice will be issued when the work is delivered.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Tax or business ID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Sam Okafor invoice for Riverbend Events</w:t>
      </w:r>
    </w:p>
    <w:p>
      <w:pPr>
        <w:spacing w:after="120"/>
      </w:pPr>
      <w:r>
        <w:t xml:space="preserve">A filled-in example for a event website and email templates.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Sam Okafor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Riverbend Events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Agreed deliverables, phase 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Additional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Changes requested 4–8 May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6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Software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Template purchased for the project,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$59.00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$59.00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$2,309.00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$2,309.00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Pro forma only — not a tax invoice. Please pay the 50% deposit to confirm the booking; the final invoice will follow on delivery.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 Forma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2026-10-23T19:02:15.735Z</dcterms:created>
  <dcterms:modified xsi:type="dcterms:W3CDTF">2026-10-23T19:02:15.735Z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