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Marketing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Billing period:</w:t>
      </w:r>
      <w:r>
        <w:t xml:space="preserve"> [Billing period]</w:t>
      </w:r>
    </w:p>
    <w:p>
      <w:pPr>
        <w:spacing w:after="120"/>
      </w:pPr>
      <w:r>
        <w:rPr>
          <w:b/>
          <w:bCs/>
        </w:rPr>
        <w:t xml:space="preserve">Ad spend reference:</w:t>
      </w:r>
      <w:r>
        <w:t xml:space="preserve"> [Ad spend reference]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[Strategy, campaign management and reporting]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[Google and Meta campaigns, 12% of spend]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[Copy and design for one campaign page]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newsletters written, built and sent]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Billing period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Ad spend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Tidewater Marketing invoice for Larkspur Interiors</w:t>
      </w:r>
    </w:p>
    <w:p>
      <w:pPr>
        <w:spacing w:after="120"/>
      </w:pPr>
      <w:r>
        <w:t xml:space="preserve">A filled-in example for a quarterly lead generation campaign.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Tidewater Marketing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Larkspur Interiors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Strategy, campaign management and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Google and Meta campaigns, 12% of spend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Copy and design for one campaign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newsletters written, built and sent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$700.00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$6,360.00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$6,360.00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2026-10-23T19:02:15.700Z</dcterms:created>
  <dcterms:modified xsi:type="dcterms:W3CDTF">2026-10-23T19:02:15.700Z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