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Law Firm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Matter number and name:</w:t>
      </w:r>
      <w:r>
        <w:t xml:space="preserve"> [Matter number and name]</w:t>
      </w:r>
    </w:p>
    <w:p>
      <w:pPr>
        <w:spacing w:after="120"/>
      </w:pPr>
      <w:r>
        <w:rPr>
          <w:b/>
          <w:bCs/>
        </w:rPr>
        <w:t xml:space="preserve">Timekeeper and rate:</w:t>
      </w:r>
      <w:r>
        <w:t xml:space="preserve"> [Timekeeper and rate]</w:t>
      </w:r>
    </w:p>
    <w:p>
      <w:pPr>
        <w:spacing w:after="120"/>
      </w:pPr>
      <w:r>
        <w:rPr>
          <w:b/>
          <w:bCs/>
        </w:rPr>
        <w:t xml:space="preserve">Disbursements:</w:t>
      </w:r>
      <w:r>
        <w:t xml:space="preserve"> [Disbursements]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Review of draft lease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[Partner time, 12 March]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Call with client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[Associate time, 14 March]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Mark-up and negotiation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[Associate time, 15–19 March]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Land registry search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[Disbursement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Matter number and name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Timekeeper and rate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Disbursements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Hollis &amp; Grant LLP invoice for Westbrook Holdings</w:t>
      </w:r>
    </w:p>
    <w:p>
      <w:pPr>
        <w:spacing w:after="120"/>
      </w:pPr>
      <w:r>
        <w:t xml:space="preserve">A filled-in example for a commercial lease negotiation.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Hollis &amp; Grant LLP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Westbrook Holdings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Review of draft lease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Partner time, 12 March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2.4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$912.00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Call with client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Associate time, 14 March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0.6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$240.00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$144.00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Mark-up and negotiation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Associate time, 15–19 March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6.5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$240.00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$1,560.00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Land registry search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Disbursement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$2,661.00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$2,661.00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 Firm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2026-10-23T19:02:15.689Z</dcterms:created>
  <dcterms:modified xsi:type="dcterms:W3CDTF">2026-10-23T19:02:15.689Z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