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Interior Design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designer”)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interior design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[Concept boards and layout]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[Detailed drawings and specification]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[Furniture, fixtures and equipment schedule]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[Site coordination through installation]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[Building work by contractors]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[Structural changes]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[Delivery and storage beyond the agreed dates]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[Measurements and access to the space]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signed-off budget]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selections within agreed times]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Purchasing and deposits</w:t>
      </w:r>
    </w:p>
    <w:p>
      <w:pPr>
        <w:spacing w:after="120"/>
      </w:pPr>
      <w:r>
        <w:t xml:space="preserve">Furniture and fittings are ordered only after the client pays the deposit for those items. Custom items can’t be cancelled once ordered.</w:t>
      </w:r>
    </w:p>
    <w:p>
      <w:pPr>
        <w:pStyle w:val="Heading2"/>
        <w:spacing w:after="100" w:before="200"/>
      </w:pPr>
      <w:r>
        <w:t xml:space="preserve">7. Design fee and procurement</w:t>
      </w:r>
    </w:p>
    <w:p>
      <w:pPr>
        <w:spacing w:after="120"/>
      </w:pPr>
      <w:r>
        <w:t xml:space="preserve">The design fee is separate from the cost of goods. Any mark-up on goods supplied is stated in the schedule.</w:t>
      </w:r>
    </w:p>
    <w:p>
      <w:pPr>
        <w:pStyle w:val="Heading2"/>
        <w:spacing w:after="100" w:before="200"/>
      </w:pPr>
      <w:r>
        <w:t xml:space="preserve">8.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9.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10.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11.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Linden Interiors and Harper &amp; Co. Offices</w:t>
      </w:r>
    </w:p>
    <w:p>
      <w:pPr>
        <w:spacing w:after="120"/>
      </w:pPr>
      <w:r>
        <w:t xml:space="preserve">How the main clauses read once filled in for a office reception and meeting room refit.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Linden Interiors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Harper &amp; Co. Offices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Concept boards and layout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Detailed drawings and specification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Furniture, fixtures and equipment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coordination through installation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work by contractors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Structural changes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and storage beyond the agreed dates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$21,840.00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$6,552.00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Purchasing and deposits</w:t>
      </w:r>
    </w:p>
    <w:p>
      <w:pPr>
        <w:spacing w:after="120"/>
      </w:pPr>
      <w:r>
        <w:t xml:space="preserve">Furniture and fittings are ordered only after the client pays the deposit for those items. Custom items can’t be cancelled once ordered.</w:t>
      </w:r>
    </w:p>
    <w:p>
      <w:pPr>
        <w:pStyle w:val="Heading2"/>
        <w:spacing w:after="100" w:before="200"/>
      </w:pPr>
      <w:r>
        <w:t xml:space="preserve">Design fee and procurement</w:t>
      </w:r>
    </w:p>
    <w:p>
      <w:pPr>
        <w:spacing w:after="120"/>
      </w:pPr>
      <w:r>
        <w:t xml:space="preserve">The design fee is separate from the cost of goods. Any mark-up on goods supplied is stated in the schedule.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2026-10-23T19:02:15.445Z</dcterms:created>
  <dcterms:modified xsi:type="dcterms:W3CDTF">2026-10-23T19:02:15.445Z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