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Independent Contractor agreement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Company: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Contractor:</w:t>
      </w:r>
      <w:r>
        <w:t xml:space="preserve"> [Legal name, address, email]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Contractor will provide the services described in Schedule 1 [or a statement of work] (“the Services”).</w:t>
      </w:r>
    </w:p>
    <w:p>
      <w:pPr>
        <w:pStyle w:val="Heading2"/>
        <w:spacing w:after="100" w:before="200"/>
      </w:pPr>
      <w:r>
        <w:t xml:space="preserve">2. Fees and invoicing</w:t>
      </w:r>
    </w:p>
    <w:p>
      <w:pPr>
        <w:spacing w:after="120"/>
      </w:pPr>
      <w:r>
        <w:rPr>
          <w:b/>
          <w:bCs/>
        </w:rPr>
        <w:t xml:space="preserve">Rate:</w:t>
      </w:r>
      <w:r>
        <w:t xml:space="preserve"> [Hourly / daily / fixed]</w:t>
      </w:r>
    </w:p>
    <w:p>
      <w:pPr>
        <w:spacing w:after="120"/>
      </w:pPr>
      <w:r>
        <w:rPr>
          <w:b/>
          <w:bCs/>
        </w:rPr>
        <w:t xml:space="preserve">Invoicing:</w:t>
      </w:r>
      <w:r>
        <w:t xml:space="preserve"> [Weekly / monthly, with approved timesheets]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[Only with prior written approval]</w:t>
      </w:r>
    </w:p>
    <w:p>
      <w:pPr>
        <w:pStyle w:val="Heading2"/>
        <w:spacing w:after="100" w:before="200"/>
      </w:pPr>
      <w:r>
        <w:t xml:space="preserve">3. Independent status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Contractor is an independent business and not an employee, worker or partner of the Company.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Contractor decides how, when and where the Services are performed, subject to agreed deadlines.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Contractor provides their own equipment and is responsible for their own taxes, insurance and benefits.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[Optional] The Contractor may send a suitably qualified substitute with the Company’s reasonable approval.</w:t>
      </w:r>
    </w:p>
    <w:p>
      <w:pPr>
        <w:pStyle w:val="Heading2"/>
        <w:spacing w:after="100" w:before="200"/>
      </w:pPr>
      <w:r>
        <w:t xml:space="preserve">4. Intellectual property</w:t>
      </w:r>
    </w:p>
    <w:p>
      <w:pPr>
        <w:spacing w:after="120"/>
      </w:pPr>
      <w:r>
        <w:t xml:space="preserve">On payment, the Contractor assigns to the Company all rights in work created specifically for the Company under this agreement, and waives moral rights where the law allows. The Contractor keeps pre-existing tools and know-how.</w:t>
      </w:r>
    </w:p>
    <w:p>
      <w:pPr>
        <w:pStyle w:val="Heading2"/>
        <w:spacing w:after="100" w:before="200"/>
      </w:pPr>
      <w:r>
        <w:t xml:space="preserve">5. Confidentiality</w:t>
      </w:r>
    </w:p>
    <w:p>
      <w:pPr>
        <w:spacing w:after="120"/>
      </w:pPr>
      <w:r>
        <w:t xml:space="preserve">The Contractor keeps the Company’s and its clients’ information confidential during and after this agreement.</w:t>
      </w:r>
    </w:p>
    <w:p>
      <w:pPr>
        <w:pStyle w:val="Heading2"/>
        <w:spacing w:after="100" w:before="200"/>
      </w:pPr>
      <w:r>
        <w:t xml:space="preserve">6. Non-solicitation</w:t>
      </w:r>
    </w:p>
    <w:p>
      <w:pPr>
        <w:spacing w:after="120"/>
      </w:pPr>
      <w:r>
        <w:t xml:space="preserve">[Optional] For [6] months after this agreement ends, the Contractor will not directly solicit the Company’s clients they worked with. Restrictions like this must be reasonable to be enforceable.</w:t>
      </w:r>
    </w:p>
    <w:p>
      <w:pPr>
        <w:pStyle w:val="Heading2"/>
        <w:spacing w:after="100" w:before="200"/>
      </w:pPr>
      <w:r>
        <w:t xml:space="preserve">7.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Starts on the effective date and continues until [date / completion].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[7]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Company pays for Services performed up to termination.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Schedule 1 — 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[Description of services]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[Location and hours, if relevant]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[Deliverables and deadlines]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[Timesheet approver]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Ridgeway Technical Services and Elmstead Systems</w:t>
      </w:r>
    </w:p>
    <w:p>
      <w:pPr>
        <w:spacing w:after="120"/>
      </w:pPr>
      <w:r>
        <w:t xml:space="preserve">How the main clauses read once filled in for a network upgrade support.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Ridgeway Technical Services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Elmstead Systems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Services as described in the statement of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Timesheets for each billing period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purchases unless agreed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outside the agreed hours without approval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$7,236.00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$2,171.00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Timesheet approval</w:t>
      </w:r>
    </w:p>
    <w:p>
      <w:pPr>
        <w:spacing w:after="120"/>
      </w:pPr>
      <w:r>
        <w:t xml:space="preserve">The contractor submits timesheets weekly. The client approves or queries them within five working days; unqueried timesheets are treated as approved.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Contractor agreement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2026-10-23T19:02:15.410Z</dcterms:created>
  <dcterms:modified xsi:type="dcterms:W3CDTF">2026-10-23T19:02:15.410Z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