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Contractor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Timesheet reference:</w:t>
      </w:r>
      <w:r>
        <w:t xml:space="preserve"> [Timesheet reference]</w:t>
      </w:r>
    </w:p>
    <w:p>
      <w:pPr>
        <w:spacing w:after="120"/>
      </w:pPr>
      <w:r>
        <w:rPr>
          <w:b/>
          <w:bCs/>
        </w:rPr>
        <w:t xml:space="preserve">Client PO number:</w:t>
      </w:r>
      <w:r>
        <w:t xml:space="preserve"> [Client PO number]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Contract services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[Weeks of 4 and 11 August]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Out-of-hours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[Weekend cut-over, 1.5× 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[Mileage to client site, at agreed 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Timesheet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Client PO number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Ridgeway Technical Services invoice for Elmstead Systems</w:t>
      </w:r>
    </w:p>
    <w:p>
      <w:pPr>
        <w:spacing w:after="120"/>
      </w:pPr>
      <w:r>
        <w:t xml:space="preserve">A filled-in example for a network upgrade support.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Ridgeway Technical Services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Elmstead Systems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Contract services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Weeks of 4 and 11 August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72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$6,120.00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Out-of-hours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Weekend cut-over, 1.5× rate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8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$127.50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$1,020.00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Mileage to client site, at agreed rate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$7,236.00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$7,236.00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2026-10-23T19:02:15.650Z</dcterms:created>
  <dcterms:modified xsi:type="dcterms:W3CDTF">2026-10-23T19:02:15.650Z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