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Bookkeeping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Service period:</w:t>
      </w:r>
      <w:r>
        <w:t xml:space="preserve"> [Service period]</w:t>
      </w:r>
    </w:p>
    <w:p>
      <w:pPr>
        <w:spacing w:after="120"/>
      </w:pPr>
      <w:r>
        <w:rPr>
          <w:b/>
          <w:bCs/>
        </w:rPr>
        <w:t xml:space="preserve">Engagement reference:</w:t>
      </w:r>
      <w:r>
        <w:t xml:space="preserve"> [Engagement reference]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[Bank reconciliation and categorisation, up to 150 transactions]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Payroll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[Monthly payroll for 6 employees]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 return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[Quarterly return preparation and filing]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Catch-up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[Prior months’ reconciliation]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Service period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Engagement reference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Ledgerline Accounting invoice for Moss &amp; Pine Landscaping</w:t>
      </w:r>
    </w:p>
    <w:p>
      <w:pPr>
        <w:spacing w:after="120"/>
      </w:pPr>
      <w:r>
        <w:t xml:space="preserve">A filled-in example for a monthly bookkeeping and year-end accounts.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Ledgerline Accounting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Moss &amp; Pine Landscaping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Bank reconciliation and categorisation, up to 150 transactions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Payroll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payroll for 6 employees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6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$72.00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Sales tax return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Quarterly return preparation and filing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$180.00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$180.00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Catch-up bookkeeping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Prior months’ reconciliation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hours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$325.00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$927.00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$927.00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2026-10-23T19:02:15.707Z</dcterms:created>
  <dcterms:modified xsi:type="dcterms:W3CDTF">2026-10-23T19:02:15.707Z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