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Architect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Work stage:</w:t>
      </w:r>
      <w:r>
        <w:t xml:space="preserve"> [Work stage]</w:t>
      </w:r>
    </w:p>
    <w:p>
      <w:pPr>
        <w:spacing w:after="120"/>
      </w:pPr>
      <w:r>
        <w:rPr>
          <w:b/>
          <w:bCs/>
        </w:rPr>
        <w:t xml:space="preserve">Fee basis:</w:t>
      </w:r>
      <w:r>
        <w:t xml:space="preserve"> [Fee basis]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Feasibility and brief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[Site visit, measured survey review, options]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layout options and 3D massing]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application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[Drawings, design statement and submission]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[Building regulations drawings and specification]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fee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[Local authority application fee]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Work stage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Fee basis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Fold Architects invoice for The Mercer Family</w:t>
      </w:r>
    </w:p>
    <w:p>
      <w:pPr>
        <w:spacing w:after="120"/>
      </w:pPr>
      <w:r>
        <w:t xml:space="preserve">A filled-in example for a two-storey rear extension.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Fold Architects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The Mercer Family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Feasibility and brief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visit, measured survey review, options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layout options and 3D massing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application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Drawings, design statement and submission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Building regulations drawings and specification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fee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Local authority application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$258.00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$258.00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$13,958.00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$13,958.00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2026-10-23T19:02:15.723Z</dcterms:created>
  <dcterms:modified xsi:type="dcterms:W3CDTF">2026-10-23T19:02:15.723Z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